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D59C2">
        <w:rPr>
          <w:b/>
          <w:bCs/>
          <w:lang w:val="ru-RU" w:eastAsia="bg-BG"/>
        </w:rPr>
        <w:t xml:space="preserve"> 25</w:t>
      </w:r>
      <w:r w:rsidR="00585963">
        <w:rPr>
          <w:b/>
          <w:bCs/>
          <w:lang w:val="bg-BG" w:eastAsia="bg-BG"/>
        </w:rPr>
        <w:t xml:space="preserve"> от </w:t>
      </w:r>
      <w:r w:rsidR="003362F1">
        <w:rPr>
          <w:b/>
          <w:bCs/>
          <w:lang w:val="bg-BG" w:eastAsia="bg-BG"/>
        </w:rPr>
        <w:t>09.01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8D59C2" w:rsidRPr="008D59C2" w:rsidRDefault="008D59C2" w:rsidP="008D59C2">
      <w:pPr>
        <w:ind w:right="-1" w:firstLine="851"/>
        <w:jc w:val="both"/>
        <w:rPr>
          <w:lang w:val="bg-BG"/>
        </w:rPr>
      </w:pPr>
      <w:r w:rsidRPr="008D59C2">
        <w:rPr>
          <w:b/>
          <w:color w:val="000000"/>
          <w:lang w:val="ru-RU"/>
        </w:rPr>
        <w:t xml:space="preserve">  </w:t>
      </w:r>
      <w:bookmarkStart w:id="0" w:name="_GoBack"/>
      <w:bookmarkEnd w:id="0"/>
      <w:r w:rsidRPr="008D59C2">
        <w:rPr>
          <w:b/>
          <w:lang w:val="bg-BG"/>
        </w:rPr>
        <w:t>Подробен устройствен план – План за регулация и застрояване /ПУП-ПРЗ/</w:t>
      </w:r>
      <w:r w:rsidRPr="008D59C2">
        <w:rPr>
          <w:lang w:val="bg-BG"/>
        </w:rPr>
        <w:t xml:space="preserve"> за УПИ </w:t>
      </w:r>
      <w:r w:rsidRPr="008D59C2">
        <w:t>IV</w:t>
      </w:r>
      <w:r w:rsidRPr="008D59C2">
        <w:rPr>
          <w:lang w:val="bg-BG"/>
        </w:rPr>
        <w:t xml:space="preserve">-19 и УПИ </w:t>
      </w:r>
      <w:r w:rsidRPr="008D59C2">
        <w:t>II</w:t>
      </w:r>
      <w:r w:rsidRPr="008D59C2">
        <w:rPr>
          <w:lang w:val="bg-BG"/>
        </w:rPr>
        <w:t xml:space="preserve">-20, кв. 25а </w:t>
      </w:r>
      <w:proofErr w:type="gramStart"/>
      <w:r w:rsidRPr="008D59C2">
        <w:rPr>
          <w:lang w:val="bg-BG"/>
        </w:rPr>
        <w:t>по плана</w:t>
      </w:r>
      <w:proofErr w:type="gramEnd"/>
      <w:r w:rsidRPr="008D59C2">
        <w:rPr>
          <w:lang w:val="bg-BG"/>
        </w:rPr>
        <w:t xml:space="preserve"> на с. Градница, Община Севлиево.</w:t>
      </w:r>
    </w:p>
    <w:p w:rsidR="008D59C2" w:rsidRPr="008D59C2" w:rsidRDefault="008D59C2" w:rsidP="008D59C2">
      <w:pPr>
        <w:ind w:right="-1" w:firstLine="851"/>
        <w:jc w:val="both"/>
        <w:rPr>
          <w:lang w:val="bg-BG"/>
        </w:rPr>
      </w:pPr>
      <w:r w:rsidRPr="008D59C2">
        <w:rPr>
          <w:lang w:val="bg-BG"/>
        </w:rPr>
        <w:t xml:space="preserve">С регулационната съставка на плана за УПИ </w:t>
      </w:r>
      <w:r w:rsidRPr="008D59C2">
        <w:t>IV</w:t>
      </w:r>
      <w:r w:rsidRPr="008D59C2">
        <w:rPr>
          <w:lang w:val="bg-BG"/>
        </w:rPr>
        <w:t xml:space="preserve">-19 и УПИ </w:t>
      </w:r>
      <w:r w:rsidRPr="008D59C2">
        <w:t>II</w:t>
      </w:r>
      <w:r w:rsidRPr="008D59C2">
        <w:rPr>
          <w:lang w:val="bg-BG"/>
        </w:rPr>
        <w:t xml:space="preserve">-20, кв. 25а по плана на с. Градница, Община Севлиево да се промени регулационната линия между двата имота. УПИ </w:t>
      </w:r>
      <w:r w:rsidRPr="008D59C2">
        <w:t>II</w:t>
      </w:r>
      <w:r w:rsidRPr="008D59C2">
        <w:rPr>
          <w:lang w:val="bg-BG"/>
        </w:rPr>
        <w:t xml:space="preserve">-20 се разделя на УПИ </w:t>
      </w:r>
      <w:r w:rsidRPr="008D59C2">
        <w:t>XXVI</w:t>
      </w:r>
      <w:r w:rsidRPr="008D59C2">
        <w:rPr>
          <w:lang w:val="bg-BG"/>
        </w:rPr>
        <w:t xml:space="preserve">-20 и </w:t>
      </w:r>
      <w:r w:rsidRPr="008D59C2">
        <w:t>XXV</w:t>
      </w:r>
      <w:r w:rsidRPr="008D59C2">
        <w:rPr>
          <w:lang w:val="bg-BG"/>
        </w:rPr>
        <w:t xml:space="preserve">-23, кв. 25а по плана на с. Градница. С плана следва двата имота УПИ </w:t>
      </w:r>
      <w:r w:rsidRPr="008D59C2">
        <w:t>XXVI</w:t>
      </w:r>
      <w:r w:rsidRPr="008D59C2">
        <w:rPr>
          <w:lang w:val="bg-BG"/>
        </w:rPr>
        <w:t xml:space="preserve">-20 и УПИ </w:t>
      </w:r>
      <w:r w:rsidRPr="008D59C2">
        <w:t>XXV</w:t>
      </w:r>
      <w:r w:rsidRPr="008D59C2">
        <w:rPr>
          <w:lang w:val="bg-BG"/>
        </w:rPr>
        <w:t xml:space="preserve">-23, кв. 25а да имат отреждане „за жилище“, а УПИ </w:t>
      </w:r>
      <w:r w:rsidRPr="008D59C2">
        <w:t>XXIV</w:t>
      </w:r>
      <w:r w:rsidRPr="008D59C2">
        <w:rPr>
          <w:lang w:val="bg-BG"/>
        </w:rPr>
        <w:t xml:space="preserve">-19, кв. 25а следва да има отреждане „за склад, производствена дейност и </w:t>
      </w:r>
      <w:proofErr w:type="spellStart"/>
      <w:r w:rsidRPr="008D59C2">
        <w:rPr>
          <w:lang w:val="bg-BG"/>
        </w:rPr>
        <w:t>фотоволтаици</w:t>
      </w:r>
      <w:proofErr w:type="spellEnd"/>
      <w:r w:rsidRPr="008D59C2">
        <w:rPr>
          <w:lang w:val="bg-BG"/>
        </w:rPr>
        <w:t>“.</w:t>
      </w:r>
    </w:p>
    <w:p w:rsidR="008D59C2" w:rsidRPr="008D59C2" w:rsidRDefault="008D59C2" w:rsidP="008D59C2">
      <w:pPr>
        <w:ind w:right="-1"/>
        <w:jc w:val="both"/>
        <w:rPr>
          <w:lang w:val="bg-BG"/>
        </w:rPr>
      </w:pPr>
      <w:r w:rsidRPr="008D59C2">
        <w:rPr>
          <w:lang w:val="bg-BG"/>
        </w:rPr>
        <w:t xml:space="preserve">              Със </w:t>
      </w:r>
      <w:proofErr w:type="spellStart"/>
      <w:r w:rsidRPr="008D59C2">
        <w:rPr>
          <w:lang w:val="bg-BG"/>
        </w:rPr>
        <w:t>застроителната</w:t>
      </w:r>
      <w:proofErr w:type="spellEnd"/>
      <w:r w:rsidRPr="008D59C2">
        <w:rPr>
          <w:lang w:val="bg-BG"/>
        </w:rPr>
        <w:t xml:space="preserve"> съставка на плана УПИ </w:t>
      </w:r>
      <w:r w:rsidRPr="008D59C2">
        <w:t>XXVI</w:t>
      </w:r>
      <w:r w:rsidRPr="008D59C2">
        <w:rPr>
          <w:lang w:val="bg-BG"/>
        </w:rPr>
        <w:t xml:space="preserve">-20 и УПИ </w:t>
      </w:r>
      <w:r w:rsidRPr="008D59C2">
        <w:t>XXV</w:t>
      </w:r>
      <w:r w:rsidRPr="008D59C2">
        <w:rPr>
          <w:lang w:val="bg-BG"/>
        </w:rPr>
        <w:t>-23, кв. 25а по плана на с. Градница, Община Севлиево да се установи устройствена зона „</w:t>
      </w:r>
      <w:proofErr w:type="spellStart"/>
      <w:r w:rsidRPr="008D59C2">
        <w:rPr>
          <w:lang w:val="bg-BG"/>
        </w:rPr>
        <w:t>Жм</w:t>
      </w:r>
      <w:proofErr w:type="spellEnd"/>
      <w:r w:rsidRPr="008D59C2">
        <w:rPr>
          <w:lang w:val="bg-BG"/>
        </w:rPr>
        <w:t xml:space="preserve">“ – жилищна устройствена зона с малка височина на застрояване, а за УПИ </w:t>
      </w:r>
      <w:r w:rsidRPr="008D59C2">
        <w:t>XXIV</w:t>
      </w:r>
      <w:r w:rsidRPr="008D59C2">
        <w:rPr>
          <w:lang w:val="bg-BG"/>
        </w:rPr>
        <w:t>-19, кв. 25а – устройствена зона „</w:t>
      </w:r>
      <w:proofErr w:type="spellStart"/>
      <w:r w:rsidRPr="008D59C2">
        <w:rPr>
          <w:lang w:val="bg-BG"/>
        </w:rPr>
        <w:t>Пп</w:t>
      </w:r>
      <w:proofErr w:type="spellEnd"/>
      <w:r w:rsidRPr="008D59C2">
        <w:rPr>
          <w:lang w:val="bg-BG"/>
        </w:rPr>
        <w:t xml:space="preserve">“- предимно производствена  – при следните устройствени показатели: </w:t>
      </w:r>
    </w:p>
    <w:p w:rsidR="008D59C2" w:rsidRPr="008D59C2" w:rsidRDefault="008D59C2" w:rsidP="008D59C2">
      <w:pPr>
        <w:ind w:right="-1"/>
        <w:jc w:val="both"/>
        <w:rPr>
          <w:lang w:val="bg-BG"/>
        </w:rPr>
      </w:pPr>
      <w:r w:rsidRPr="008D59C2">
        <w:rPr>
          <w:lang w:val="bg-BG"/>
        </w:rPr>
        <w:t xml:space="preserve">За  УПИ </w:t>
      </w:r>
      <w:r w:rsidRPr="008D59C2">
        <w:t>XXVI</w:t>
      </w:r>
      <w:r w:rsidRPr="008D59C2">
        <w:rPr>
          <w:lang w:val="bg-BG"/>
        </w:rPr>
        <w:t xml:space="preserve">-20 и УПИ </w:t>
      </w:r>
      <w:r w:rsidRPr="008D59C2">
        <w:t>XXV</w:t>
      </w:r>
      <w:r w:rsidRPr="008D59C2">
        <w:rPr>
          <w:lang w:val="bg-BG"/>
        </w:rPr>
        <w:t>-23, кв. 25а: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Начин на застрояване</w:t>
      </w:r>
      <w:r w:rsidRPr="008D59C2">
        <w:rPr>
          <w:lang w:val="bg-BG"/>
        </w:rPr>
        <w:t xml:space="preserve"> – свободно;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Характер на застрояване</w:t>
      </w:r>
      <w:r w:rsidRPr="008D59C2">
        <w:rPr>
          <w:lang w:val="bg-BG"/>
        </w:rPr>
        <w:t xml:space="preserve"> –  с височина до 10 м.;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Максимална плътност на застрояване</w:t>
      </w:r>
      <w:r w:rsidRPr="008D59C2">
        <w:rPr>
          <w:lang w:val="bg-BG"/>
        </w:rPr>
        <w:t xml:space="preserve"> – 40 %;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Максимална интензивност на застрояване</w:t>
      </w:r>
      <w:r w:rsidRPr="008D59C2">
        <w:rPr>
          <w:lang w:val="bg-BG"/>
        </w:rPr>
        <w:t xml:space="preserve"> – до 1.2;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8D59C2">
        <w:rPr>
          <w:b/>
          <w:lang w:val="bg-BG"/>
        </w:rPr>
        <w:t>Минимална озеленена площ</w:t>
      </w:r>
      <w:r w:rsidRPr="008D59C2">
        <w:rPr>
          <w:lang w:val="bg-BG"/>
        </w:rPr>
        <w:t xml:space="preserve"> – 60 %;</w:t>
      </w:r>
    </w:p>
    <w:p w:rsidR="008D59C2" w:rsidRPr="008D59C2" w:rsidRDefault="008D59C2" w:rsidP="008D59C2">
      <w:pPr>
        <w:ind w:right="-1"/>
        <w:jc w:val="both"/>
        <w:rPr>
          <w:lang w:val="bg-BG"/>
        </w:rPr>
      </w:pPr>
      <w:r w:rsidRPr="008D59C2">
        <w:rPr>
          <w:lang w:val="bg-BG"/>
        </w:rPr>
        <w:t xml:space="preserve">За УПИ </w:t>
      </w:r>
      <w:r w:rsidRPr="008D59C2">
        <w:t>XXIV</w:t>
      </w:r>
      <w:r w:rsidRPr="008D59C2">
        <w:rPr>
          <w:lang w:val="bg-BG"/>
        </w:rPr>
        <w:t>-19, кв. 25а: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Начин на застрояване</w:t>
      </w:r>
      <w:r w:rsidRPr="008D59C2">
        <w:rPr>
          <w:lang w:val="bg-BG"/>
        </w:rPr>
        <w:t xml:space="preserve"> – свободно;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Характер на застрояване</w:t>
      </w:r>
      <w:r w:rsidRPr="008D59C2">
        <w:rPr>
          <w:lang w:val="bg-BG"/>
        </w:rPr>
        <w:t xml:space="preserve"> –  с височина до 10 м.;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Максимална плътност на застрояване</w:t>
      </w:r>
      <w:r w:rsidRPr="008D59C2">
        <w:rPr>
          <w:lang w:val="bg-BG"/>
        </w:rPr>
        <w:t xml:space="preserve"> – 80 %;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8D59C2">
        <w:rPr>
          <w:b/>
          <w:lang w:val="bg-BG"/>
        </w:rPr>
        <w:t>Максимална интензивност на застрояване</w:t>
      </w:r>
      <w:r w:rsidRPr="008D59C2">
        <w:rPr>
          <w:lang w:val="bg-BG"/>
        </w:rPr>
        <w:t xml:space="preserve"> – до 2,5;</w:t>
      </w:r>
    </w:p>
    <w:p w:rsidR="008D59C2" w:rsidRPr="008D59C2" w:rsidRDefault="008D59C2" w:rsidP="008D59C2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8D59C2">
        <w:rPr>
          <w:b/>
          <w:lang w:val="bg-BG"/>
        </w:rPr>
        <w:t>Минимална озеленена площ</w:t>
      </w:r>
      <w:r w:rsidRPr="008D59C2">
        <w:rPr>
          <w:lang w:val="bg-BG"/>
        </w:rPr>
        <w:t xml:space="preserve"> – 20 %;</w:t>
      </w:r>
    </w:p>
    <w:p w:rsidR="00BB37B1" w:rsidRPr="00585963" w:rsidRDefault="00BB37B1" w:rsidP="003362F1">
      <w:pPr>
        <w:ind w:firstLine="708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8D59C2" w:rsidRPr="008D59C2">
        <w:rPr>
          <w:b/>
          <w:bCs/>
          <w:lang w:val="bg-BG"/>
        </w:rPr>
        <w:t xml:space="preserve">УПИ </w:t>
      </w:r>
      <w:r w:rsidR="008D59C2" w:rsidRPr="008D59C2">
        <w:rPr>
          <w:b/>
          <w:bCs/>
        </w:rPr>
        <w:t>IV</w:t>
      </w:r>
      <w:r w:rsidR="008D59C2" w:rsidRPr="008D59C2">
        <w:rPr>
          <w:b/>
          <w:bCs/>
          <w:lang w:val="bg-BG"/>
        </w:rPr>
        <w:t xml:space="preserve">-19 и УПИ </w:t>
      </w:r>
      <w:r w:rsidR="008D59C2" w:rsidRPr="008D59C2">
        <w:rPr>
          <w:b/>
          <w:bCs/>
        </w:rPr>
        <w:t>II</w:t>
      </w:r>
      <w:r w:rsidR="008D59C2" w:rsidRPr="008D59C2">
        <w:rPr>
          <w:b/>
          <w:bCs/>
          <w:lang w:val="bg-BG"/>
        </w:rPr>
        <w:t>-20, кв. 25а по плана на с. Градница, Община Севлиево.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lastRenderedPageBreak/>
        <w:t>С</w:t>
      </w:r>
      <w:r w:rsidR="00DF034B">
        <w:rPr>
          <w:lang w:val="bg-BG" w:eastAsia="bg-BG"/>
        </w:rPr>
        <w:t xml:space="preserve">ъобщението е поставено </w:t>
      </w:r>
      <w:r w:rsidR="008D59C2">
        <w:rPr>
          <w:lang w:val="bg-BG" w:eastAsia="bg-BG"/>
        </w:rPr>
        <w:t>на 10</w:t>
      </w:r>
      <w:r w:rsidR="003362F1">
        <w:rPr>
          <w:lang w:val="bg-BG" w:eastAsia="bg-BG"/>
        </w:rPr>
        <w:t>.01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A6" w:rsidRDefault="00A516A6">
      <w:r>
        <w:separator/>
      </w:r>
    </w:p>
  </w:endnote>
  <w:endnote w:type="continuationSeparator" w:id="0">
    <w:p w:rsidR="00A516A6" w:rsidRDefault="00A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516A6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A516A6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A6" w:rsidRDefault="00A516A6">
      <w:r>
        <w:separator/>
      </w:r>
    </w:p>
  </w:footnote>
  <w:footnote w:type="continuationSeparator" w:id="0">
    <w:p w:rsidR="00A516A6" w:rsidRDefault="00A5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516A6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A516A6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36D61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516A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1849</Characters>
  <Application>Microsoft Office Word</Application>
  <DocSecurity>0</DocSecurity>
  <Lines>15</Lines>
  <Paragraphs>4</Paragraphs>
  <ScaleCrop>false</ScaleCrop>
  <Company>Home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25</cp:revision>
  <cp:lastPrinted>2020-04-15T06:40:00Z</cp:lastPrinted>
  <dcterms:created xsi:type="dcterms:W3CDTF">2021-12-02T12:21:00Z</dcterms:created>
  <dcterms:modified xsi:type="dcterms:W3CDTF">2023-01-10T07:34:00Z</dcterms:modified>
</cp:coreProperties>
</file>